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E1" w:rsidRPr="009F5595" w:rsidRDefault="000475E1" w:rsidP="009F5595">
      <w:pPr>
        <w:spacing w:after="0" w:line="240" w:lineRule="auto"/>
        <w:jc w:val="center"/>
        <w:rPr>
          <w:rFonts w:ascii="Bookman Old Style" w:hAnsi="Bookman Old Style"/>
          <w:b/>
          <w:color w:val="FF0000"/>
          <w:kern w:val="36"/>
          <w:sz w:val="32"/>
          <w:szCs w:val="32"/>
          <w:lang w:eastAsia="ru-RU"/>
        </w:rPr>
      </w:pPr>
      <w:proofErr w:type="gramStart"/>
      <w:r w:rsidRPr="009F5595">
        <w:rPr>
          <w:rFonts w:ascii="Bookman Old Style" w:hAnsi="Bookman Old Style"/>
          <w:b/>
          <w:color w:val="FF0000"/>
          <w:kern w:val="36"/>
          <w:sz w:val="32"/>
          <w:szCs w:val="32"/>
          <w:lang w:eastAsia="ru-RU"/>
        </w:rPr>
        <w:t>Р</w:t>
      </w:r>
      <w:proofErr w:type="gramEnd"/>
      <w:r w:rsidRPr="009F5595">
        <w:rPr>
          <w:rFonts w:ascii="Bookman Old Style" w:hAnsi="Bookman Old Style"/>
          <w:b/>
          <w:color w:val="FF0000"/>
          <w:kern w:val="36"/>
          <w:sz w:val="32"/>
          <w:szCs w:val="32"/>
          <w:lang w:eastAsia="ru-RU"/>
        </w:rPr>
        <w:t>ізні діти – різні ігри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val="uk-UA" w:eastAsia="ru-RU"/>
        </w:rPr>
      </w:pP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Життя багатообразне, і знайомимося ми з її проявами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по-р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ізному – провідну роль грає якийсь один з органів чуття. За способом сприйняття навколишньої дійсності психологи ділять людство на три типи.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Людей, що найефективніше сприймають інформацію за допомогою зору, називають візуалами, тих, кому простіше засвоювати нове на слух, –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ауд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іалами і, нарешті, тих, кому легко дізнатися щоб то не було, поторкавши, понюхавши предмет, стикнувшись з ним, – кинестетіками. Виявляється, що ведучий канал сприйняття проявляє себе дуже рано – вже двох – трьохмісячний малюк має чіткі переваги. Якщо постежити за дитиною, можна зрозуміти, до якого типу він належить. Правда, частіше спосіб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ізнання буває комбінованим – людина віддає перевагу, наприклад, двом каналам сприйняття.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Чим краще ми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знаємо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дитину, тим легше нам з ним спілкуватися і простіше учити. Визначивши улюблений спосіб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ізнання малюка, батьки повинні його розвивати: навчаючи дитину чомусь новому, вони тепер можуть враховувати, як йому легко засвоювати інформацію.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>Приведемо основні характеристики особливостей індиві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дуального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розвитку дитини.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>  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  <w:r w:rsidRPr="009F5595">
        <w:rPr>
          <w:rFonts w:ascii="Bookman Old Style" w:hAnsi="Bookman Old Style"/>
          <w:b/>
          <w:bCs/>
          <w:color w:val="3333FF"/>
          <w:sz w:val="28"/>
          <w:szCs w:val="28"/>
          <w:lang w:eastAsia="ru-RU"/>
        </w:rPr>
        <w:t>Дитина – глядач (візуал)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val="uk-UA" w:eastAsia="ru-RU"/>
        </w:rPr>
      </w:pP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Глядачі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ізнають навколишній світ візуально, тобто під час сприйняття інформації більше покладаються на зорові відчуття. Їх увага природним чином обернена на видимі ознаки знайомих об'єктів, вони швидко схоплюють і запам'ятовують такі візуальні характеристики, як рух, колір, форму і розмір. Більшість глядачів мають прекрасну зорово-тактильну координацію і з народження прагнуть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в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першу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чергу розглянути об'єкт, і тільки потім за допомогою жестів характеризують його. Дійсно, більшість глядачів виділяються розвиненою моторикою, тобто рухами, які активізують одночасно очі і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др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ібні м'язи, наприклад м'язи пальців.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Діти-глядачі люблять розглядати картинки, їм цікаво дивитися на ілюстрації до казки, чим слухати саму казку. У дитячому садку вони із задоволенням грають в кубики, складають картинки з фрагментів (пазли), ліплять, вирізують –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вс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 їх заняття розраховані на взаємодію очей і рук. Вони швидко вчаться малювати і писати друкарськими буквами, з легкістю запам'ятовують схеми коротких слів. У більш старшому віці діти-глядачі віддають перевагу настільним і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грам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, охоче 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lastRenderedPageBreak/>
        <w:t>малюють, майструють, моделюють, швидко освоюють комп'ютер, люблять відеоігри.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Володіючи розвиненішою зорово-тактильною координацією, зорове легко управляються із завданнями, які вимагають розвинених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тонких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рухових функцій. Оскільки глядачі, як правило, ігнорують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будь-як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 інші подразники на користь візуальних, їм необхідно приділяти особливу увагу розвитку мовних навиків, товариськості і загальної фізичної координації.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> </w:t>
      </w:r>
    </w:p>
    <w:p w:rsid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val="uk-UA" w:eastAsia="ru-RU"/>
        </w:rPr>
      </w:pPr>
      <w:r w:rsidRPr="009F5595">
        <w:rPr>
          <w:rFonts w:ascii="Bookman Old Style" w:hAnsi="Bookman Old Style"/>
          <w:b/>
          <w:bCs/>
          <w:color w:val="3333FF"/>
          <w:sz w:val="28"/>
          <w:szCs w:val="28"/>
          <w:lang w:eastAsia="ru-RU"/>
        </w:rPr>
        <w:t>Дитина-слухач (</w:t>
      </w:r>
      <w:proofErr w:type="gramStart"/>
      <w:r w:rsidRPr="009F5595">
        <w:rPr>
          <w:rFonts w:ascii="Bookman Old Style" w:hAnsi="Bookman Old Style"/>
          <w:b/>
          <w:bCs/>
          <w:color w:val="3333FF"/>
          <w:sz w:val="28"/>
          <w:szCs w:val="28"/>
          <w:lang w:eastAsia="ru-RU"/>
        </w:rPr>
        <w:t>ауд</w:t>
      </w:r>
      <w:proofErr w:type="gramEnd"/>
      <w:r w:rsidRPr="009F5595">
        <w:rPr>
          <w:rFonts w:ascii="Bookman Old Style" w:hAnsi="Bookman Old Style"/>
          <w:b/>
          <w:bCs/>
          <w:color w:val="3333FF"/>
          <w:sz w:val="28"/>
          <w:szCs w:val="28"/>
          <w:lang w:eastAsia="ru-RU"/>
        </w:rPr>
        <w:t>іал)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Слухачі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ізнають навколишній світ, сприймаючи голоси і звуки, віддають перевагу слуховим відчуттям в порівнянні із зоровими і тактильними. Оскільки мова сприймається на слух, слухачі раніше інших дітей починають говорити і ві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др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ізняються великим словарним запасом.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Дітей-слухачів з самого народження легко заспокоює музика або знайомі голоси.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Вони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з радістю сприймають найпростіші звуки. Більш старші діти люблять співати, розпові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дати в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ірші, задають нескінченну кількість питань, правильно і добре розмовляють. Вони виявляють цікавість до читання, а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в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початков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ій школі охоче читають вголос і легко запам'ятовують урок вчителя. Вони люблять слухати магнітофонні записи, радіо, швидко запам'ятовують інформацію отриману на слух, віддають перевагу розмовним і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грам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, наприклад, віршуванню, або іграм що припускає відгадування слів. Слухачі отримують задоволення від читання, часто разом з іншими придумують різні історії і розігрують їх в особах. Оскільки основна увага слухача прикована до мови, вони можуть відставати від ровесників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в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розвитку навиків, пов'язаних із зоровим і руховим сприйняттям.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>  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  <w:r w:rsidRPr="009F5595">
        <w:rPr>
          <w:rFonts w:ascii="Bookman Old Style" w:hAnsi="Bookman Old Style"/>
          <w:b/>
          <w:bCs/>
          <w:color w:val="3333FF"/>
          <w:sz w:val="28"/>
          <w:szCs w:val="28"/>
          <w:lang w:eastAsia="ru-RU"/>
        </w:rPr>
        <w:t>Дитина-діяч (кинестетік)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Діячі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ізнають навколишній світ тактильно (або кинестетичним) способом, тобто від безпосереднього торкання або руху. Цей спосіб отримання інформації допускає сильно розвинену моторику, активний рух, як результат – активність великих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м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'язів (плечей, рук, стегон і т.п.).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Б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ільшості дітей-діячів невідомий страх. Вони багато рухаються самі і люблять, коли їх розбурхують або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ідкидають дорослі. Діячі раніше інших дітей починають повзати, а потім і ходити. У дошкільному віці вони віддають перевагу активним і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грам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, пов'язаним із стрибками, лазінням, бігом, люблять кубики і 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lastRenderedPageBreak/>
        <w:t xml:space="preserve">рухомі іграшки. Унаслідок природженої координації і хорошої орієнтації в просторі діячі частіше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іддаються фізичному ризику в порівнянні з іншими дітьми. Основні проблеми, з якими діячам доводиться стикатися вже в дитячому саду,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пов'язан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 з їх нездатністю впродовж тривалого часу залишатися в спокої і концентрувати всю свою увагу на одному предметі. Їх пристрасть, активні ігри на відкритому просторі.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У початковій школі їх неспокійна поведінка і неуважність на уроках можуть привести до поганої успішності, тоді як поза школою безстрашні і сильні діячі незмінно мають авторитет в середовищі ровесників. В той же час божевільний темперамент більшості діячів обумовлює наявність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таких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рис їх вдачі, як дратівливість і вразливість.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Вони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вимагають негайного задоволення бажань і готові долати труднощі. Діячі емоційно нестійкі – їх гнів і радість чергуються з неймовірною швидкістю.</w:t>
      </w: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  <w:t xml:space="preserve">Діячі обожнюють ігри на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св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іжому повітрі, заняття спортом, наприклад, грають у футбол, плавають, ходять в походи, піклуються про тварин. Подібне переважання фізичного виховання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в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 порівнянні із сприйняттям зоровим або слуховим може привести до виникнення мовних проблем і відставання в навчанні.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 Яким чином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ізнаєте мир ви самі, шановні батьки і вихователі? А який спосіб п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і-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 xml:space="preserve">знання властивий вашим дітям і вихованцям? Виявлення властивого вам способу </w:t>
      </w:r>
      <w:proofErr w:type="gramStart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п</w:t>
      </w:r>
      <w:proofErr w:type="gramEnd"/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ізнання може істотно вплинути на правильність вибору методів і вправ, необхідних для занять з дитиною в домашніх умовах, на створення атмосфери взаєморозуміння батьків і дітей.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t> </w:t>
      </w: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</w:p>
    <w:p w:rsidR="000475E1" w:rsidRPr="009F5595" w:rsidRDefault="000475E1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  <w:lang w:eastAsia="ru-RU"/>
        </w:rPr>
      </w:pPr>
      <w:r w:rsidRPr="009F5595">
        <w:rPr>
          <w:rFonts w:ascii="Bookman Old Style" w:hAnsi="Bookman Old Style"/>
          <w:b/>
          <w:color w:val="3333FF"/>
          <w:sz w:val="28"/>
          <w:szCs w:val="28"/>
          <w:lang w:eastAsia="ru-RU"/>
        </w:rPr>
        <w:br/>
      </w:r>
    </w:p>
    <w:p w:rsidR="00B4537A" w:rsidRPr="009F5595" w:rsidRDefault="00B4537A" w:rsidP="009F5595">
      <w:pPr>
        <w:spacing w:after="0" w:line="240" w:lineRule="auto"/>
        <w:rPr>
          <w:rFonts w:ascii="Bookman Old Style" w:hAnsi="Bookman Old Style"/>
          <w:b/>
          <w:color w:val="3333FF"/>
          <w:sz w:val="28"/>
          <w:szCs w:val="28"/>
        </w:rPr>
      </w:pPr>
    </w:p>
    <w:sectPr w:rsidR="00B4537A" w:rsidRPr="009F5595" w:rsidSect="009F55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dirty" w:grammar="clean"/>
  <w:defaultTabStop w:val="708"/>
  <w:characterSpacingControl w:val="doNotCompress"/>
  <w:compat/>
  <w:rsids>
    <w:rsidRoot w:val="000475E1"/>
    <w:rsid w:val="000475E1"/>
    <w:rsid w:val="00714D27"/>
    <w:rsid w:val="0076573B"/>
    <w:rsid w:val="009F5595"/>
    <w:rsid w:val="00B4537A"/>
    <w:rsid w:val="00F50DB1"/>
    <w:rsid w:val="00F6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A"/>
  </w:style>
  <w:style w:type="paragraph" w:styleId="1">
    <w:name w:val="heading 1"/>
    <w:basedOn w:val="a"/>
    <w:link w:val="10"/>
    <w:uiPriority w:val="9"/>
    <w:qFormat/>
    <w:rsid w:val="00047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75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75E1"/>
  </w:style>
  <w:style w:type="paragraph" w:styleId="a4">
    <w:name w:val="Normal (Web)"/>
    <w:basedOn w:val="a"/>
    <w:uiPriority w:val="99"/>
    <w:semiHidden/>
    <w:unhideWhenUsed/>
    <w:rsid w:val="00047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0980">
          <w:marLeft w:val="30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8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08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5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219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44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8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9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8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2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94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08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554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5040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4059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2013-02-21T00:35:00Z</dcterms:created>
  <dcterms:modified xsi:type="dcterms:W3CDTF">2013-02-21T00:35:00Z</dcterms:modified>
</cp:coreProperties>
</file>